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УПРАВЛЕНИЕ ФЕДЕРАЛЬНОЙ  СЛУЖБЫ ГОСУДАРСТВЕННОЙ  РЕГИСТРАЦИИ,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КАДАСТРА И КАРТОГРАФИИ (РОСРЕЕСТР)  ПО ЧЕЛЯБИНСКОЙ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454048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 Челябинск, ул. Елькина, 85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3110" w:dyaOrig="1163">
          <v:rect xmlns:o="urn:schemas-microsoft-com:office:office" xmlns:v="urn:schemas-microsoft-com:vml" id="rectole0000000000" style="width:155.500000pt;height:58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</w:t>
      </w:r>
    </w:p>
    <w:p>
      <w:pPr>
        <w:tabs>
          <w:tab w:val="left" w:pos="8505" w:leader="none"/>
        </w:tabs>
        <w:spacing w:before="0" w:after="0" w:line="240"/>
        <w:ind w:right="0" w:left="8496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27.04.2022</w:t>
      </w:r>
    </w:p>
    <w:p>
      <w:pPr>
        <w:tabs>
          <w:tab w:val="left" w:pos="8505" w:leader="none"/>
        </w:tabs>
        <w:spacing w:before="0" w:after="0" w:line="240"/>
        <w:ind w:right="0" w:left="8496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Более 12,5 тысяч льготных ипотек зарегистрировало челябинское Управление Росреестра 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В Управлении Росреестра по Челябинской области проанализирована статистика регистрационных действий в отношении объектов недвижимого имущества по программе льготного ипотечного кредитования населения. </w:t>
      </w:r>
    </w:p>
    <w:p>
      <w:pPr>
        <w:spacing w:before="0" w:after="16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Несмотря на непростую ситуацию в экономике страны, правительство сохранило программы льготного ипотечного кредитования для улучшения жилищных условий населения и увеличило объемы федерального финансирования. В ближайшее время в этих целях ставка по программе льготной ипотеки с господдержкой будет снижена с недавно установленной на уровне 12 % до 9%, вслед за снижением ключевой ставки Центрального банка России. Соответствующее поручение дал 25 апреля 2022 года президент РФ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Владимир Путин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.</w:t>
      </w:r>
    </w:p>
    <w:p>
      <w:pPr>
        <w:spacing w:before="0" w:after="16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Банк России уже приступил к постепенному снижению ключевой ставки, к удешевлению кредитов в экономике. Здесь возможны и другие шаги, исходя из реалий ситуации в этой сфере, но это прерогатива Центрального банка. Считаю необходимым принимать дополнительные решения, прежде всего, в части ипотечного кредитования. Как мы видим, динамика слабее прогноза, и чтобы сделать покупку жилья более доступной, чтобы стимулировать стройку, предлагаю стимулировать ставку по льготной ипотечной программе с господдержкой с 12% до 9% годовых. Необходимо также продлить действие этой льготы до конца текущего года. Ее срок сейчас истекает 1 июля 2022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»*,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заявил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Владимир Путин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на совещании по экономическим вопросам.</w:t>
      </w:r>
    </w:p>
    <w:p>
      <w:pPr>
        <w:spacing w:before="0" w:after="16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Исходя из статистических данных Управления Росреестра по Челябинской области, с начала действия госпрограммы по состоянию на 1 апреля 2022 года зарегистрированы права по 12 554 пакетам документов с использованием льготной ипотеки.  Из них: государственная регистрация осуществлена по 9 530 договорам долевого участия в строительстве, 1 827 договорам уступки права требования и 1 197 договорам купли-продажи.</w:t>
      </w:r>
    </w:p>
    <w:p>
      <w:pPr>
        <w:spacing w:before="0" w:after="0" w:line="240"/>
        <w:ind w:right="0" w:left="5664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Аргаяшский отдел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Управления Росреестра и Кадастровой палаты</w:t>
      </w:r>
    </w:p>
    <w:p>
      <w:pPr>
        <w:spacing w:before="0" w:after="0" w:line="240"/>
        <w:ind w:right="0" w:left="4956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по Челябинской области</w:t>
      </w:r>
    </w:p>
    <w:p>
      <w:pPr>
        <w:spacing w:before="0" w:after="0" w:line="240"/>
        <w:ind w:right="0" w:left="4956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источник: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7"/>
            <w:u w:val="single"/>
            <w:shd w:fill="auto" w:val="clear"/>
          </w:rPr>
          <w:t xml:space="preserve">https://www.interfax.ru/russia/837813</w:t>
        </w:r>
      </w:hyperlink>
    </w:p>
    <w:p>
      <w:pPr>
        <w:spacing w:before="0" w:after="0" w:line="240"/>
        <w:ind w:right="0" w:left="4956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s://www.interfax.ru/russia/837813" Id="docRId2" Type="http://schemas.openxmlformats.org/officeDocument/2006/relationships/hyperlink"/><Relationship Target="styles.xml" Id="docRId4" Type="http://schemas.openxmlformats.org/officeDocument/2006/relationships/styles"/></Relationships>
</file>